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bookmarkStart w:id="0" w:name="_GoBack"/>
      <w:bookmarkEnd w:id="0"/>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firstRow="1" w:lastRow="0" w:firstColumn="1" w:lastColumn="0" w:noHBand="0" w:noVBand="1"/>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782BC6">
      <w:pPr>
        <w:spacing w:beforeLines="50" w:before="18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14:anchorId="06E9EB72" wp14:editId="56FA25DE">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9" cstate="print">
                      <a:extLst>
                        <a:ext uri="{28A0092B-C50C-407E-A947-70E740481C1C}">
                          <a14:useLocalDpi xmlns:a14="http://schemas.microsoft.com/office/drawing/2010/main"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E6B">
        <w:rPr>
          <w:rFonts w:eastAsia="標楷體"/>
          <w:bCs/>
          <w:color w:val="000000"/>
          <w:kern w:val="0"/>
          <w:shd w:val="pct15" w:color="auto" w:fill="FFFFFF"/>
        </w:rPr>
        <w:t>附件一</w:t>
      </w:r>
    </w:p>
    <w:p w:rsidR="00782BC6" w:rsidRPr="00E36E6B" w:rsidRDefault="00782BC6" w:rsidP="00782BC6">
      <w:pPr>
        <w:spacing w:beforeLines="50" w:before="18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782BC6">
      <w:pPr>
        <w:spacing w:beforeLines="50" w:before="18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10"/>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4B" w:rsidRDefault="006B714B" w:rsidP="00B42C0E">
      <w:r>
        <w:separator/>
      </w:r>
    </w:p>
  </w:endnote>
  <w:endnote w:type="continuationSeparator" w:id="0">
    <w:p w:rsidR="006B714B" w:rsidRDefault="006B714B"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1738"/>
      <w:docPartObj>
        <w:docPartGallery w:val="Page Numbers (Bottom of Page)"/>
        <w:docPartUnique/>
      </w:docPartObj>
    </w:sdtPr>
    <w:sdtEndPr/>
    <w:sdtContent>
      <w:p w:rsidR="000A0D15" w:rsidRDefault="000A0D15">
        <w:pPr>
          <w:pStyle w:val="a8"/>
          <w:jc w:val="center"/>
        </w:pPr>
        <w:r>
          <w:fldChar w:fldCharType="begin"/>
        </w:r>
        <w:r>
          <w:instrText>PAGE   \* MERGEFORMAT</w:instrText>
        </w:r>
        <w:r>
          <w:fldChar w:fldCharType="separate"/>
        </w:r>
        <w:r w:rsidR="00124A0C" w:rsidRPr="00124A0C">
          <w:rPr>
            <w:noProof/>
            <w:lang w:val="zh-TW"/>
          </w:rPr>
          <w:t>1</w:t>
        </w:r>
        <w:r>
          <w:fldChar w:fldCharType="end"/>
        </w:r>
      </w:p>
    </w:sdtContent>
  </w:sdt>
  <w:p w:rsidR="000A0D15" w:rsidRDefault="000A0D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4B" w:rsidRDefault="006B714B" w:rsidP="00B42C0E">
      <w:r>
        <w:separator/>
      </w:r>
    </w:p>
  </w:footnote>
  <w:footnote w:type="continuationSeparator" w:id="0">
    <w:p w:rsidR="006B714B" w:rsidRDefault="006B714B" w:rsidP="00B42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4A0C"/>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B714B"/>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642F"/>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A578-A725-4F72-9CD8-AEDB2E53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2932</Words>
  <Characters>749</Characters>
  <Application>Microsoft Office Word</Application>
  <DocSecurity>4</DocSecurity>
  <Lines>6</Lines>
  <Paragraphs>7</Paragraphs>
  <ScaleCrop>false</ScaleCrop>
  <Company>SYNNEX</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教導主任</cp:lastModifiedBy>
  <cp:revision>2</cp:revision>
  <cp:lastPrinted>2017-04-20T07:57:00Z</cp:lastPrinted>
  <dcterms:created xsi:type="dcterms:W3CDTF">2017-05-08T04:52:00Z</dcterms:created>
  <dcterms:modified xsi:type="dcterms:W3CDTF">2017-05-08T04:52:00Z</dcterms:modified>
</cp:coreProperties>
</file>